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9" w:rsidRPr="00CD2B9B" w:rsidRDefault="00126589" w:rsidP="00126589">
      <w:pPr>
        <w:pStyle w:val="a4"/>
        <w:spacing w:line="360" w:lineRule="auto"/>
        <w:rPr>
          <w:b/>
        </w:rPr>
      </w:pPr>
      <w:r>
        <w:rPr>
          <w:b/>
        </w:rPr>
        <w:t xml:space="preserve">               </w:t>
      </w:r>
    </w:p>
    <w:p w:rsidR="00126589" w:rsidRPr="00CD2B9B" w:rsidRDefault="00126589" w:rsidP="00126589">
      <w:pPr>
        <w:pStyle w:val="a4"/>
        <w:spacing w:before="1" w:beforeAutospacing="1" w:after="1" w:afterAutospacing="1" w:line="360" w:lineRule="auto"/>
        <w:rPr>
          <w:color w:val="070001"/>
        </w:rPr>
      </w:pPr>
      <w:r>
        <w:rPr>
          <w:color w:val="070001"/>
        </w:rPr>
        <w:t xml:space="preserve">                                            </w:t>
      </w:r>
      <w:r w:rsidRPr="00CD2B9B">
        <w:rPr>
          <w:color w:val="070001"/>
        </w:rPr>
        <w:t>АННОТАЦИЯ</w:t>
      </w:r>
    </w:p>
    <w:p w:rsidR="00126589" w:rsidRDefault="00126589" w:rsidP="00126589">
      <w:pPr>
        <w:pStyle w:val="a4"/>
        <w:spacing w:before="1" w:beforeAutospacing="1" w:after="1" w:afterAutospacing="1" w:line="360" w:lineRule="auto"/>
        <w:rPr>
          <w:color w:val="070001"/>
        </w:rPr>
      </w:pPr>
      <w:r>
        <w:rPr>
          <w:color w:val="070001"/>
        </w:rPr>
        <w:t xml:space="preserve">                              </w:t>
      </w:r>
      <w:r w:rsidRPr="00CD2B9B">
        <w:rPr>
          <w:color w:val="070001"/>
        </w:rPr>
        <w:t>ПРИМЕРНОЙ ПРОГРАММЫ</w:t>
      </w:r>
    </w:p>
    <w:p w:rsidR="00126589" w:rsidRPr="00547457" w:rsidRDefault="00126589" w:rsidP="00126589">
      <w:pPr>
        <w:pStyle w:val="a3"/>
        <w:spacing w:line="360" w:lineRule="auto"/>
        <w:rPr>
          <w:sz w:val="24"/>
          <w:szCs w:val="24"/>
        </w:rPr>
      </w:pPr>
      <w:r w:rsidRPr="00547457">
        <w:rPr>
          <w:color w:val="070001"/>
          <w:sz w:val="24"/>
          <w:szCs w:val="24"/>
        </w:rPr>
        <w:t xml:space="preserve"> Дисциплины «</w:t>
      </w:r>
      <w:r>
        <w:rPr>
          <w:color w:val="070001"/>
          <w:sz w:val="24"/>
          <w:szCs w:val="24"/>
        </w:rPr>
        <w:t xml:space="preserve">Методика преподавания античной </w:t>
      </w:r>
      <w:r w:rsidRPr="00547457">
        <w:rPr>
          <w:sz w:val="24"/>
          <w:szCs w:val="24"/>
        </w:rPr>
        <w:t xml:space="preserve">литературы»   </w:t>
      </w:r>
    </w:p>
    <w:p w:rsidR="00126589" w:rsidRDefault="00126589" w:rsidP="00126589">
      <w:pPr>
        <w:spacing w:line="360" w:lineRule="auto"/>
        <w:rPr>
          <w:b/>
          <w:sz w:val="28"/>
          <w:szCs w:val="28"/>
        </w:rPr>
      </w:pPr>
    </w:p>
    <w:p w:rsidR="00126589" w:rsidRPr="0075330F" w:rsidRDefault="00126589" w:rsidP="00126589">
      <w:pPr>
        <w:pStyle w:val="a3"/>
        <w:spacing w:line="360" w:lineRule="auto"/>
        <w:rPr>
          <w:b/>
          <w:sz w:val="24"/>
          <w:szCs w:val="24"/>
        </w:rPr>
      </w:pPr>
      <w:r w:rsidRPr="0075330F">
        <w:rPr>
          <w:b/>
          <w:sz w:val="24"/>
          <w:szCs w:val="24"/>
        </w:rPr>
        <w:t>Цель дисциплины</w:t>
      </w:r>
    </w:p>
    <w:p w:rsidR="00CF7400" w:rsidRPr="00CF7400" w:rsidRDefault="00126589" w:rsidP="00126589">
      <w:pPr>
        <w:pStyle w:val="a3"/>
        <w:spacing w:line="360" w:lineRule="auto"/>
        <w:rPr>
          <w:sz w:val="24"/>
          <w:szCs w:val="24"/>
        </w:rPr>
      </w:pPr>
      <w:proofErr w:type="gramStart"/>
      <w:r w:rsidRPr="00CF7400">
        <w:rPr>
          <w:sz w:val="24"/>
          <w:szCs w:val="24"/>
        </w:rPr>
        <w:t>Предметом данной дисциплины («</w:t>
      </w:r>
      <w:r w:rsidRPr="00CF7400">
        <w:rPr>
          <w:color w:val="070001"/>
          <w:sz w:val="24"/>
          <w:szCs w:val="24"/>
        </w:rPr>
        <w:t xml:space="preserve"> Методика преподавания античной </w:t>
      </w:r>
      <w:r w:rsidRPr="00CF7400">
        <w:rPr>
          <w:sz w:val="24"/>
          <w:szCs w:val="24"/>
        </w:rPr>
        <w:t xml:space="preserve">литературы», профессиональный цикл, курсы по выбору  </w:t>
      </w:r>
      <w:r w:rsidRPr="00CF7400">
        <w:rPr>
          <w:b/>
          <w:i/>
          <w:sz w:val="24"/>
          <w:szCs w:val="24"/>
        </w:rPr>
        <w:t>032700 Филология, Профиль:</w:t>
      </w:r>
      <w:proofErr w:type="gramEnd"/>
      <w:r w:rsidRPr="00CF7400">
        <w:rPr>
          <w:b/>
          <w:i/>
          <w:sz w:val="24"/>
          <w:szCs w:val="24"/>
        </w:rPr>
        <w:t xml:space="preserve"> </w:t>
      </w:r>
      <w:proofErr w:type="gramStart"/>
      <w:r w:rsidRPr="00CF7400">
        <w:rPr>
          <w:b/>
          <w:i/>
          <w:sz w:val="24"/>
          <w:szCs w:val="24"/>
        </w:rPr>
        <w:t>Зарубежная филология (классическая филология</w:t>
      </w:r>
      <w:r w:rsidRPr="00CF7400">
        <w:rPr>
          <w:sz w:val="24"/>
          <w:szCs w:val="24"/>
        </w:rPr>
        <w:t xml:space="preserve">)) является </w:t>
      </w:r>
      <w:r w:rsidR="003E4DD8">
        <w:rPr>
          <w:sz w:val="24"/>
          <w:szCs w:val="24"/>
        </w:rPr>
        <w:t xml:space="preserve">систематическое изучение </w:t>
      </w:r>
      <w:r w:rsidRPr="00CF7400">
        <w:rPr>
          <w:sz w:val="24"/>
          <w:szCs w:val="24"/>
        </w:rPr>
        <w:t>метод</w:t>
      </w:r>
      <w:r w:rsidR="003E4DD8">
        <w:rPr>
          <w:sz w:val="24"/>
          <w:szCs w:val="24"/>
        </w:rPr>
        <w:t xml:space="preserve">ов </w:t>
      </w:r>
      <w:r w:rsidRPr="00CF7400">
        <w:rPr>
          <w:sz w:val="24"/>
          <w:szCs w:val="24"/>
        </w:rPr>
        <w:t>преподавания истории литературы Древней Греции и Древнего Рима.</w:t>
      </w:r>
      <w:proofErr w:type="gramEnd"/>
      <w:r w:rsidRPr="00CF7400">
        <w:rPr>
          <w:sz w:val="24"/>
          <w:szCs w:val="24"/>
        </w:rPr>
        <w:t xml:space="preserve"> </w:t>
      </w:r>
      <w:r w:rsidR="00E17774" w:rsidRPr="00CF7400">
        <w:rPr>
          <w:sz w:val="24"/>
          <w:szCs w:val="24"/>
        </w:rPr>
        <w:t xml:space="preserve">Цель дисциплины – </w:t>
      </w:r>
      <w:r w:rsidR="00CF7400" w:rsidRPr="00CF7400">
        <w:rPr>
          <w:sz w:val="24"/>
          <w:szCs w:val="24"/>
        </w:rPr>
        <w:t xml:space="preserve">а) </w:t>
      </w:r>
      <w:r w:rsidR="00E17774" w:rsidRPr="00CF7400">
        <w:rPr>
          <w:sz w:val="24"/>
          <w:szCs w:val="24"/>
        </w:rPr>
        <w:t>созда</w:t>
      </w:r>
      <w:r w:rsidR="003A4840" w:rsidRPr="00CF7400">
        <w:rPr>
          <w:sz w:val="24"/>
          <w:szCs w:val="24"/>
        </w:rPr>
        <w:t xml:space="preserve">ние </w:t>
      </w:r>
      <w:r w:rsidR="00CF7400" w:rsidRPr="00CF7400">
        <w:rPr>
          <w:sz w:val="24"/>
          <w:szCs w:val="24"/>
        </w:rPr>
        <w:t xml:space="preserve">общего свода правил, алгоритмов и приемов изучения античной литературы; б) разработка путей  их практического применения в процессе обучения. </w:t>
      </w:r>
    </w:p>
    <w:p w:rsidR="00126589" w:rsidRDefault="00126589" w:rsidP="00126589">
      <w:pPr>
        <w:pStyle w:val="a3"/>
        <w:spacing w:line="360" w:lineRule="auto"/>
      </w:pPr>
    </w:p>
    <w:p w:rsidR="00CF7400" w:rsidRDefault="00CF7400" w:rsidP="00CF7400">
      <w:pPr>
        <w:spacing w:line="360" w:lineRule="auto"/>
        <w:ind w:firstLine="708"/>
        <w:jc w:val="both"/>
        <w:rPr>
          <w:b/>
          <w:bCs/>
          <w:color w:val="070001"/>
          <w:sz w:val="24"/>
          <w:szCs w:val="24"/>
        </w:rPr>
      </w:pPr>
      <w:r w:rsidRPr="009C7875">
        <w:rPr>
          <w:b/>
          <w:bCs/>
          <w:color w:val="070001"/>
          <w:sz w:val="24"/>
          <w:szCs w:val="24"/>
        </w:rPr>
        <w:t>Задачи дисциплины:</w:t>
      </w:r>
    </w:p>
    <w:p w:rsidR="00CF7400" w:rsidRPr="009C7875" w:rsidRDefault="00CF7400" w:rsidP="00CF7400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− </w:t>
      </w:r>
      <w:r w:rsidR="00A7168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ознакомить студентов с основными</w:t>
      </w:r>
      <w:r w:rsidR="00A7168A">
        <w:rPr>
          <w:color w:val="000000"/>
          <w:sz w:val="24"/>
          <w:szCs w:val="24"/>
        </w:rPr>
        <w:t xml:space="preserve"> </w:t>
      </w:r>
      <w:r w:rsidR="003E4DD8">
        <w:rPr>
          <w:color w:val="000000"/>
          <w:sz w:val="24"/>
          <w:szCs w:val="24"/>
        </w:rPr>
        <w:t xml:space="preserve">методологическими </w:t>
      </w:r>
      <w:r w:rsidR="00A7168A">
        <w:rPr>
          <w:color w:val="000000"/>
          <w:sz w:val="24"/>
          <w:szCs w:val="24"/>
        </w:rPr>
        <w:t xml:space="preserve">принципами подхода к изучению </w:t>
      </w:r>
      <w:r>
        <w:rPr>
          <w:color w:val="000000"/>
          <w:sz w:val="24"/>
          <w:szCs w:val="24"/>
        </w:rPr>
        <w:t>памятник</w:t>
      </w:r>
      <w:r w:rsidR="00A7168A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</w:t>
      </w:r>
      <w:r w:rsidR="00A7168A">
        <w:rPr>
          <w:color w:val="000000"/>
          <w:sz w:val="24"/>
          <w:szCs w:val="24"/>
        </w:rPr>
        <w:t>древне</w:t>
      </w:r>
      <w:r w:rsidR="0016766B">
        <w:rPr>
          <w:color w:val="000000"/>
          <w:sz w:val="24"/>
          <w:szCs w:val="24"/>
        </w:rPr>
        <w:t>греческой и римской л</w:t>
      </w:r>
      <w:r>
        <w:rPr>
          <w:color w:val="000000"/>
          <w:sz w:val="24"/>
          <w:szCs w:val="24"/>
        </w:rPr>
        <w:t xml:space="preserve">итературы в </w:t>
      </w:r>
      <w:r w:rsidR="0016766B">
        <w:rPr>
          <w:color w:val="000000"/>
          <w:sz w:val="24"/>
          <w:szCs w:val="24"/>
        </w:rPr>
        <w:t>процессе преподавания античной литературы</w:t>
      </w:r>
      <w:r w:rsidR="00A7168A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A7168A" w:rsidRDefault="00CF7400" w:rsidP="00CF7400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− </w:t>
      </w:r>
      <w:r w:rsidR="0016766B">
        <w:rPr>
          <w:color w:val="000000"/>
          <w:sz w:val="24"/>
          <w:szCs w:val="24"/>
        </w:rPr>
        <w:t xml:space="preserve"> </w:t>
      </w:r>
      <w:r w:rsidR="00A716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создать</w:t>
      </w:r>
      <w:r w:rsidRPr="009C7875">
        <w:rPr>
          <w:color w:val="000000"/>
          <w:sz w:val="24"/>
          <w:szCs w:val="24"/>
        </w:rPr>
        <w:t xml:space="preserve"> </w:t>
      </w:r>
      <w:r w:rsidRPr="000A142E">
        <w:rPr>
          <w:color w:val="000000"/>
          <w:sz w:val="24"/>
          <w:szCs w:val="24"/>
        </w:rPr>
        <w:t xml:space="preserve">представление о </w:t>
      </w:r>
      <w:r w:rsidR="0016766B">
        <w:rPr>
          <w:color w:val="000000"/>
          <w:sz w:val="24"/>
          <w:szCs w:val="24"/>
        </w:rPr>
        <w:t>проблемах</w:t>
      </w:r>
      <w:r w:rsidR="00A7168A">
        <w:rPr>
          <w:color w:val="000000"/>
          <w:sz w:val="24"/>
          <w:szCs w:val="24"/>
        </w:rPr>
        <w:t>, связанных с восприятием памятников литературы древнего мира</w:t>
      </w:r>
      <w:r w:rsidR="00610520">
        <w:rPr>
          <w:color w:val="000000"/>
          <w:sz w:val="24"/>
          <w:szCs w:val="24"/>
        </w:rPr>
        <w:t xml:space="preserve"> в современной интеллектуальной ситуации</w:t>
      </w:r>
      <w:r w:rsidR="00A7168A">
        <w:rPr>
          <w:color w:val="000000"/>
          <w:sz w:val="24"/>
          <w:szCs w:val="24"/>
        </w:rPr>
        <w:t>;</w:t>
      </w:r>
    </w:p>
    <w:p w:rsidR="00A7168A" w:rsidRDefault="00A7168A" w:rsidP="00126589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  выработать основные </w:t>
      </w:r>
      <w:r w:rsidR="001676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правила и приемы работы с наиболее значительными произведениями древнегреческой и римской литературы как изучаемыми объектами</w:t>
      </w:r>
    </w:p>
    <w:p w:rsidR="00A7168A" w:rsidRPr="009C7875" w:rsidRDefault="00A7168A" w:rsidP="00A7168A">
      <w:pPr>
        <w:pStyle w:val="a4"/>
        <w:spacing w:before="1" w:beforeAutospacing="1" w:after="1" w:afterAutospacing="1" w:line="360" w:lineRule="auto"/>
        <w:jc w:val="center"/>
        <w:rPr>
          <w:b/>
          <w:bCs/>
          <w:color w:val="070001"/>
        </w:rPr>
      </w:pPr>
      <w:r>
        <w:rPr>
          <w:b/>
          <w:bCs/>
          <w:color w:val="070001"/>
        </w:rPr>
        <w:t>М</w:t>
      </w:r>
      <w:r w:rsidRPr="009C7875">
        <w:rPr>
          <w:b/>
          <w:bCs/>
          <w:color w:val="070001"/>
        </w:rPr>
        <w:t>есто дисциплины в структуре ООП ВПО</w:t>
      </w:r>
    </w:p>
    <w:p w:rsidR="00A7168A" w:rsidRPr="009C7875" w:rsidRDefault="00A7168A" w:rsidP="00A7168A">
      <w:pPr>
        <w:pStyle w:val="a4"/>
        <w:spacing w:before="1" w:beforeAutospacing="1" w:after="1" w:afterAutospacing="1" w:line="360" w:lineRule="auto"/>
        <w:rPr>
          <w:color w:val="070001"/>
        </w:rPr>
      </w:pPr>
      <w:r w:rsidRPr="009C7875">
        <w:rPr>
          <w:color w:val="070001"/>
        </w:rPr>
        <w:t>Дисцип</w:t>
      </w:r>
      <w:r w:rsidRPr="009C7875">
        <w:rPr>
          <w:color w:val="262128"/>
        </w:rPr>
        <w:t>л</w:t>
      </w:r>
      <w:r w:rsidRPr="009C7875">
        <w:rPr>
          <w:color w:val="070001"/>
        </w:rPr>
        <w:t xml:space="preserve">ина входит в Блок 3 «Профессиональный цикл. </w:t>
      </w:r>
      <w:r>
        <w:rPr>
          <w:color w:val="070001"/>
        </w:rPr>
        <w:t>Курсы по выбору</w:t>
      </w:r>
      <w:r w:rsidRPr="009C7875">
        <w:rPr>
          <w:color w:val="262128"/>
        </w:rPr>
        <w:t xml:space="preserve">» </w:t>
      </w:r>
      <w:r w:rsidRPr="009C7875">
        <w:rPr>
          <w:color w:val="070001"/>
        </w:rPr>
        <w:t>учебного плана</w:t>
      </w:r>
      <w:r>
        <w:rPr>
          <w:color w:val="070001"/>
        </w:rPr>
        <w:t xml:space="preserve"> (7 семестр)</w:t>
      </w:r>
      <w:r w:rsidRPr="009C7875">
        <w:rPr>
          <w:color w:val="070001"/>
        </w:rPr>
        <w:t xml:space="preserve">. </w:t>
      </w:r>
    </w:p>
    <w:p w:rsidR="00A7168A" w:rsidRPr="009C7875" w:rsidRDefault="00A7168A" w:rsidP="00A7168A">
      <w:pPr>
        <w:pStyle w:val="a4"/>
        <w:spacing w:before="1" w:beforeAutospacing="1" w:after="1" w:afterAutospacing="1" w:line="360" w:lineRule="auto"/>
        <w:ind w:firstLine="708"/>
        <w:jc w:val="center"/>
        <w:rPr>
          <w:b/>
          <w:color w:val="070001"/>
        </w:rPr>
      </w:pPr>
      <w:r w:rsidRPr="009C7875">
        <w:rPr>
          <w:b/>
          <w:color w:val="070001"/>
        </w:rPr>
        <w:t>Требования к уровню освоения дисциплины</w:t>
      </w:r>
    </w:p>
    <w:p w:rsidR="00A7168A" w:rsidRDefault="00A7168A" w:rsidP="00A7168A">
      <w:pPr>
        <w:pStyle w:val="a4"/>
        <w:spacing w:before="1" w:beforeAutospacing="1" w:after="1" w:afterAutospacing="1" w:line="360" w:lineRule="auto"/>
        <w:rPr>
          <w:color w:val="221E23"/>
        </w:rPr>
      </w:pPr>
      <w:r w:rsidRPr="009C7875">
        <w:rPr>
          <w:color w:val="060001"/>
        </w:rPr>
        <w:t>Процесс изучения дисциплины направлен на формирование следующих компетенций</w:t>
      </w:r>
      <w:r w:rsidRPr="009C7875">
        <w:rPr>
          <w:color w:val="221E23"/>
        </w:rPr>
        <w:t xml:space="preserve">: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ОК-6 – </w:t>
      </w:r>
      <w:r w:rsidRPr="00633B60">
        <w:rPr>
          <w:sz w:val="24"/>
          <w:szCs w:val="24"/>
        </w:rPr>
        <w:t xml:space="preserve">постоянная готовность к расширению собственного профессионального опыта и знаний за счет овладения соответствующей </w:t>
      </w:r>
      <w:r w:rsidRPr="00633B60">
        <w:rPr>
          <w:sz w:val="24"/>
          <w:szCs w:val="24"/>
        </w:rPr>
        <w:lastRenderedPageBreak/>
        <w:t>литературой и другими источниками информации, варьирования форм профессиональной деятельности, коллегиального сотрудничества, овладения более высокими ступенями профессионального образования</w:t>
      </w:r>
      <w:r w:rsidRPr="00633B60">
        <w:rPr>
          <w:color w:val="000000"/>
          <w:sz w:val="24"/>
          <w:szCs w:val="24"/>
        </w:rPr>
        <w:t>,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ОК-7 – </w:t>
      </w:r>
      <w:r w:rsidRPr="00633B60">
        <w:rPr>
          <w:sz w:val="24"/>
          <w:szCs w:val="24"/>
        </w:rPr>
        <w:t>способность последовательно ставить и реализовывать свои профессиональные задачи по мере развития собственных способностей и накопления профессионального опыта</w:t>
      </w:r>
      <w:r w:rsidRPr="00633B60">
        <w:rPr>
          <w:color w:val="000000"/>
          <w:sz w:val="24"/>
          <w:szCs w:val="24"/>
        </w:rPr>
        <w:t>,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ОК-9 – </w:t>
      </w:r>
      <w:r w:rsidRPr="00633B60">
        <w:rPr>
          <w:sz w:val="24"/>
          <w:szCs w:val="24"/>
        </w:rPr>
        <w:t>способность воспринимать предмет собственных занятий и профессиональные задачи в широком контексте развития современных гуманитарных наук, стремление к максимальному совмещению в своей деятельности  методов различных гуманитарных дисциплин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ОК-11 – </w:t>
      </w:r>
      <w:r w:rsidRPr="00633B60">
        <w:rPr>
          <w:sz w:val="24"/>
          <w:szCs w:val="24"/>
        </w:rPr>
        <w:t>умение пользоваться в своей профессиональной деятельности разнообразными, в том числе электронными, носителями и источниками информации</w:t>
      </w:r>
      <w:r w:rsidRPr="00633B60">
        <w:rPr>
          <w:bCs/>
          <w:iCs/>
          <w:sz w:val="24"/>
          <w:szCs w:val="24"/>
        </w:rPr>
        <w:t>, владение основами компьютерной грамотности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ОК-12 – </w:t>
      </w:r>
      <w:r w:rsidRPr="00633B60">
        <w:rPr>
          <w:sz w:val="24"/>
          <w:szCs w:val="24"/>
        </w:rPr>
        <w:t>владение навыками поиска профессиональной информации в глобальной сети; знание основных информационных порталов, поисковых систем соответствующей профессиональной направленности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ПК-1 – </w:t>
      </w:r>
      <w:r w:rsidRPr="00633B60">
        <w:rPr>
          <w:sz w:val="24"/>
          <w:szCs w:val="24"/>
        </w:rPr>
        <w:t xml:space="preserve">знание истории и теории античной литературы, современного состояния классической филологии, основных научных методов современного </w:t>
      </w:r>
      <w:proofErr w:type="spellStart"/>
      <w:r w:rsidRPr="00633B60">
        <w:rPr>
          <w:sz w:val="24"/>
          <w:szCs w:val="24"/>
        </w:rPr>
        <w:t>антиковедения</w:t>
      </w:r>
      <w:proofErr w:type="spellEnd"/>
      <w:r w:rsidRPr="00633B60">
        <w:rPr>
          <w:sz w:val="24"/>
          <w:szCs w:val="24"/>
        </w:rPr>
        <w:t xml:space="preserve">, владения навыками филологической интерпретации и </w:t>
      </w:r>
      <w:proofErr w:type="gramStart"/>
      <w:r w:rsidRPr="00633B60">
        <w:rPr>
          <w:sz w:val="24"/>
          <w:szCs w:val="24"/>
        </w:rPr>
        <w:t>комментария текстов</w:t>
      </w:r>
      <w:proofErr w:type="gramEnd"/>
      <w:r w:rsidRPr="00633B60">
        <w:rPr>
          <w:sz w:val="24"/>
          <w:szCs w:val="24"/>
        </w:rPr>
        <w:t xml:space="preserve"> на древних языках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ПК-2 – </w:t>
      </w:r>
      <w:r w:rsidRPr="00633B60">
        <w:rPr>
          <w:sz w:val="24"/>
          <w:szCs w:val="24"/>
        </w:rPr>
        <w:t xml:space="preserve">владение базовыми методами критики текста, умение пользоваться разнообразной справочной литературой по </w:t>
      </w:r>
      <w:proofErr w:type="spellStart"/>
      <w:r w:rsidRPr="00633B60">
        <w:rPr>
          <w:sz w:val="24"/>
          <w:szCs w:val="24"/>
        </w:rPr>
        <w:t>антиковедению</w:t>
      </w:r>
      <w:proofErr w:type="spellEnd"/>
      <w:r w:rsidRPr="00633B60">
        <w:rPr>
          <w:sz w:val="24"/>
          <w:szCs w:val="24"/>
        </w:rPr>
        <w:t>, знакомство с основными базами данных, словарями, поисковыми системами, программами обработки древних текстов,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ПК-3 – </w:t>
      </w:r>
      <w:r w:rsidRPr="00633B60">
        <w:rPr>
          <w:sz w:val="24"/>
          <w:szCs w:val="24"/>
        </w:rPr>
        <w:t>владение древнегреческим и латинским языками в объеме, достаточном для перевода и интерпретации классических текстов большой сложности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ПК-9 – </w:t>
      </w:r>
      <w:r w:rsidRPr="00633B60">
        <w:rPr>
          <w:bCs/>
          <w:iCs/>
          <w:sz w:val="24"/>
          <w:szCs w:val="24"/>
        </w:rPr>
        <w:t>готовность к проведению занятий по древним языкам, истории античной и мировой литературы и культуры в школе, организации внеклассной работы (организация экскурсий, кружков, летних  школ) по изучению античной и европейской культуры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ПК-10 – </w:t>
      </w:r>
      <w:r w:rsidRPr="00633B60">
        <w:rPr>
          <w:bCs/>
          <w:iCs/>
          <w:sz w:val="24"/>
          <w:szCs w:val="24"/>
        </w:rPr>
        <w:t>умение готовить учебно-методические материалы по древним языкам, истории античной и европейской культуры и литературы для средней школы</w:t>
      </w:r>
      <w:r w:rsidRPr="00633B60">
        <w:rPr>
          <w:color w:val="000000"/>
          <w:sz w:val="24"/>
          <w:szCs w:val="24"/>
        </w:rPr>
        <w:t xml:space="preserve">, </w:t>
      </w:r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proofErr w:type="gramStart"/>
      <w:r w:rsidRPr="00633B60">
        <w:rPr>
          <w:color w:val="000000"/>
          <w:sz w:val="24"/>
          <w:szCs w:val="24"/>
        </w:rPr>
        <w:lastRenderedPageBreak/>
        <w:t xml:space="preserve">ПК-11 – </w:t>
      </w:r>
      <w:r w:rsidRPr="00633B60">
        <w:rPr>
          <w:bCs/>
          <w:iCs/>
          <w:sz w:val="24"/>
          <w:szCs w:val="24"/>
        </w:rPr>
        <w:t>стремление прививать учащимся желание и вкус к изучения отечественной и европейской литературы и культуры, способность к изобретению новых форм интеллектуального досуга, направленных на расширение культурного кругозора учеников</w:t>
      </w:r>
      <w:r w:rsidRPr="00633B60">
        <w:rPr>
          <w:color w:val="000000"/>
          <w:sz w:val="24"/>
          <w:szCs w:val="24"/>
        </w:rPr>
        <w:t xml:space="preserve">, </w:t>
      </w:r>
      <w:proofErr w:type="gramEnd"/>
    </w:p>
    <w:p w:rsidR="004D4A12" w:rsidRPr="00633B60" w:rsidRDefault="004D4A12" w:rsidP="004D4A1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3B60">
        <w:rPr>
          <w:color w:val="000000"/>
          <w:sz w:val="24"/>
          <w:szCs w:val="24"/>
        </w:rPr>
        <w:t xml:space="preserve">ПК-14 – </w:t>
      </w:r>
      <w:r w:rsidRPr="00633B60">
        <w:rPr>
          <w:sz w:val="24"/>
          <w:szCs w:val="24"/>
        </w:rPr>
        <w:t>умение переводить тексты (прежде всего в научных и учебных целях), как с древних, так и современных европейских языков, владение навыками реферирования научной литературы</w:t>
      </w:r>
    </w:p>
    <w:p w:rsidR="0068350D" w:rsidRPr="009C7875" w:rsidRDefault="0068350D" w:rsidP="0068350D">
      <w:pPr>
        <w:pStyle w:val="a4"/>
        <w:spacing w:before="1" w:beforeAutospacing="1" w:after="1" w:afterAutospacing="1" w:line="360" w:lineRule="auto"/>
        <w:rPr>
          <w:b/>
          <w:bCs/>
          <w:color w:val="060001"/>
        </w:rPr>
      </w:pPr>
      <w:r w:rsidRPr="009C7875">
        <w:rPr>
          <w:color w:val="060001"/>
        </w:rPr>
        <w:t xml:space="preserve">В результате изучения дисциплины специалист должен </w:t>
      </w:r>
      <w:r w:rsidRPr="00707D07">
        <w:rPr>
          <w:b/>
          <w:color w:val="060001"/>
        </w:rPr>
        <w:t>знать</w:t>
      </w:r>
      <w:r w:rsidRPr="009C7875">
        <w:rPr>
          <w:b/>
          <w:bCs/>
          <w:color w:val="060001"/>
        </w:rPr>
        <w:t xml:space="preserve">: 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color w:val="221E23"/>
        </w:rPr>
        <w:t>−</w:t>
      </w:r>
      <w:r w:rsidRPr="009C7875">
        <w:rPr>
          <w:color w:val="221E23"/>
        </w:rPr>
        <w:t xml:space="preserve"> </w:t>
      </w:r>
      <w:r>
        <w:rPr>
          <w:color w:val="221E23"/>
        </w:rPr>
        <w:t>общую систему методологии преподавания античной литературы;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color w:val="221E23"/>
        </w:rPr>
        <w:t xml:space="preserve">-- характер и сущность составляющих ее </w:t>
      </w:r>
      <w:r w:rsidR="00E251C1">
        <w:rPr>
          <w:color w:val="221E23"/>
        </w:rPr>
        <w:t>правил, алгоритмов и приемов</w:t>
      </w:r>
      <w:r>
        <w:rPr>
          <w:color w:val="221E23"/>
        </w:rPr>
        <w:t>;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color w:val="221E23"/>
        </w:rPr>
        <w:t xml:space="preserve">− особенности использования </w:t>
      </w:r>
      <w:r w:rsidR="00E251C1">
        <w:rPr>
          <w:color w:val="221E23"/>
        </w:rPr>
        <w:t xml:space="preserve">этих </w:t>
      </w:r>
      <w:r>
        <w:rPr>
          <w:color w:val="221E23"/>
        </w:rPr>
        <w:t xml:space="preserve">правил и приемов применительно к каждому частному памятнику древнегреческой и римской литературы; 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b/>
          <w:color w:val="221E23"/>
        </w:rPr>
      </w:pPr>
      <w:r>
        <w:rPr>
          <w:b/>
          <w:color w:val="221E23"/>
        </w:rPr>
        <w:t>уметь: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b/>
          <w:color w:val="221E23"/>
        </w:rPr>
        <w:t xml:space="preserve">-- </w:t>
      </w:r>
      <w:r>
        <w:rPr>
          <w:color w:val="221E23"/>
        </w:rPr>
        <w:t>свободно ориентироваться в хронологии и периодизации литературы означенного периода;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color w:val="221E23"/>
        </w:rPr>
        <w:t>-- определять формальные</w:t>
      </w:r>
      <w:r w:rsidRPr="006E0D24">
        <w:rPr>
          <w:color w:val="221E23"/>
        </w:rPr>
        <w:t xml:space="preserve"> </w:t>
      </w:r>
      <w:proofErr w:type="gramStart"/>
      <w:r>
        <w:rPr>
          <w:color w:val="221E23"/>
        </w:rPr>
        <w:t>и(</w:t>
      </w:r>
      <w:proofErr w:type="gramEnd"/>
      <w:r>
        <w:rPr>
          <w:color w:val="221E23"/>
        </w:rPr>
        <w:t>ли) содержательные признаки принадлежности произведения к тому или иному жанру;</w:t>
      </w:r>
    </w:p>
    <w:p w:rsidR="0068350D" w:rsidRDefault="0068350D" w:rsidP="0068350D">
      <w:pPr>
        <w:pStyle w:val="a4"/>
        <w:spacing w:before="1" w:beforeAutospacing="1" w:after="1" w:afterAutospacing="1" w:line="360" w:lineRule="auto"/>
        <w:ind w:firstLine="708"/>
        <w:rPr>
          <w:color w:val="221E23"/>
        </w:rPr>
      </w:pPr>
      <w:r>
        <w:rPr>
          <w:color w:val="221E23"/>
        </w:rPr>
        <w:t xml:space="preserve">-- анализировать произведение с точки зрения </w:t>
      </w:r>
      <w:r w:rsidR="00E251C1">
        <w:rPr>
          <w:color w:val="221E23"/>
        </w:rPr>
        <w:t>специфики его учебного преподнесения и восприятия</w:t>
      </w:r>
      <w:r>
        <w:rPr>
          <w:color w:val="221E23"/>
        </w:rPr>
        <w:t>;</w:t>
      </w:r>
    </w:p>
    <w:p w:rsidR="0068350D" w:rsidRPr="00900405" w:rsidRDefault="0068350D" w:rsidP="0068350D">
      <w:pPr>
        <w:pStyle w:val="a4"/>
        <w:spacing w:before="1" w:beforeAutospacing="1" w:after="1" w:afterAutospacing="1" w:line="360" w:lineRule="auto"/>
        <w:rPr>
          <w:bCs/>
          <w:color w:val="050000"/>
        </w:rPr>
      </w:pPr>
      <w:r>
        <w:rPr>
          <w:b/>
          <w:bCs/>
          <w:color w:val="050000"/>
        </w:rPr>
        <w:t xml:space="preserve">           -- </w:t>
      </w:r>
      <w:r>
        <w:rPr>
          <w:bCs/>
          <w:color w:val="050000"/>
        </w:rPr>
        <w:t xml:space="preserve">проводить анализ </w:t>
      </w:r>
      <w:r w:rsidR="00E251C1">
        <w:rPr>
          <w:bCs/>
          <w:color w:val="050000"/>
        </w:rPr>
        <w:t xml:space="preserve">возможных методологических подходов к </w:t>
      </w:r>
      <w:r>
        <w:rPr>
          <w:bCs/>
          <w:color w:val="050000"/>
        </w:rPr>
        <w:t>произведени</w:t>
      </w:r>
      <w:r w:rsidR="00E251C1">
        <w:rPr>
          <w:bCs/>
          <w:color w:val="050000"/>
        </w:rPr>
        <w:t>ям</w:t>
      </w:r>
      <w:r>
        <w:rPr>
          <w:bCs/>
          <w:color w:val="050000"/>
        </w:rPr>
        <w:t xml:space="preserve"> римской и греческой литературы.</w:t>
      </w:r>
    </w:p>
    <w:p w:rsidR="004D4A12" w:rsidRDefault="004D4A12" w:rsidP="004D4A12">
      <w:pPr>
        <w:spacing w:line="360" w:lineRule="auto"/>
        <w:rPr>
          <w:sz w:val="24"/>
          <w:szCs w:val="24"/>
        </w:rPr>
      </w:pPr>
      <w:r w:rsidRPr="004D4A12">
        <w:rPr>
          <w:sz w:val="24"/>
          <w:szCs w:val="24"/>
        </w:rPr>
        <w:t>Общая трудоемкость дисциплины – 2 зачетные единицы (72 часа)</w:t>
      </w:r>
      <w:r>
        <w:rPr>
          <w:sz w:val="24"/>
          <w:szCs w:val="24"/>
        </w:rPr>
        <w:t>.</w:t>
      </w:r>
      <w:r w:rsidRPr="004D4A12">
        <w:rPr>
          <w:sz w:val="24"/>
          <w:szCs w:val="24"/>
        </w:rPr>
        <w:t xml:space="preserve"> </w:t>
      </w:r>
    </w:p>
    <w:p w:rsidR="004D4A12" w:rsidRPr="006C2D51" w:rsidRDefault="004D4A12" w:rsidP="004D4A12">
      <w:pPr>
        <w:spacing w:line="360" w:lineRule="auto"/>
        <w:rPr>
          <w:sz w:val="24"/>
          <w:szCs w:val="24"/>
        </w:rPr>
      </w:pPr>
      <w:r w:rsidRPr="00E2659F">
        <w:rPr>
          <w:sz w:val="24"/>
          <w:szCs w:val="24"/>
        </w:rPr>
        <w:t xml:space="preserve">Программой дисциплины предусмотрены лекционные </w:t>
      </w:r>
      <w:r>
        <w:rPr>
          <w:sz w:val="24"/>
          <w:szCs w:val="24"/>
        </w:rPr>
        <w:t xml:space="preserve">занятия – </w:t>
      </w:r>
      <w:r w:rsidRPr="006C2D51">
        <w:rPr>
          <w:sz w:val="24"/>
          <w:szCs w:val="24"/>
        </w:rPr>
        <w:t xml:space="preserve">10 </w:t>
      </w:r>
      <w:r>
        <w:rPr>
          <w:sz w:val="24"/>
          <w:szCs w:val="24"/>
        </w:rPr>
        <w:t>часов, семинарские занятия – 1</w:t>
      </w:r>
      <w:r w:rsidRPr="006C2D51">
        <w:rPr>
          <w:sz w:val="24"/>
          <w:szCs w:val="24"/>
        </w:rPr>
        <w:t xml:space="preserve">6 </w:t>
      </w:r>
      <w:r>
        <w:rPr>
          <w:sz w:val="24"/>
          <w:szCs w:val="24"/>
        </w:rPr>
        <w:t>часов, зачет, самостоятельная работа – 46 часов.</w:t>
      </w:r>
    </w:p>
    <w:p w:rsidR="00CB4EDC" w:rsidRPr="004D4A12" w:rsidRDefault="004D4A12">
      <w:pPr>
        <w:rPr>
          <w:sz w:val="24"/>
          <w:szCs w:val="24"/>
        </w:rPr>
      </w:pPr>
    </w:p>
    <w:p w:rsidR="00F52750" w:rsidRDefault="00F52750"/>
    <w:sectPr w:rsidR="00F52750" w:rsidSect="00A1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E2B"/>
    <w:multiLevelType w:val="hybridMultilevel"/>
    <w:tmpl w:val="F782E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89"/>
    <w:rsid w:val="00102EC4"/>
    <w:rsid w:val="00126589"/>
    <w:rsid w:val="0016766B"/>
    <w:rsid w:val="003A4840"/>
    <w:rsid w:val="003E4DD8"/>
    <w:rsid w:val="004C6712"/>
    <w:rsid w:val="004D4A12"/>
    <w:rsid w:val="005F5B45"/>
    <w:rsid w:val="00610520"/>
    <w:rsid w:val="0068350D"/>
    <w:rsid w:val="00A14E57"/>
    <w:rsid w:val="00A7168A"/>
    <w:rsid w:val="00B20D7D"/>
    <w:rsid w:val="00C87C4F"/>
    <w:rsid w:val="00CF7400"/>
    <w:rsid w:val="00E17774"/>
    <w:rsid w:val="00E251C1"/>
    <w:rsid w:val="00EC79F6"/>
    <w:rsid w:val="00F35B43"/>
    <w:rsid w:val="00F5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89"/>
    <w:pPr>
      <w:ind w:left="720"/>
      <w:contextualSpacing/>
    </w:pPr>
  </w:style>
  <w:style w:type="paragraph" w:customStyle="1" w:styleId="a4">
    <w:name w:val="Стиль"/>
    <w:rsid w:val="0012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Николай Гринцер</cp:lastModifiedBy>
  <cp:revision>5</cp:revision>
  <dcterms:created xsi:type="dcterms:W3CDTF">2011-02-24T08:04:00Z</dcterms:created>
  <dcterms:modified xsi:type="dcterms:W3CDTF">2011-04-05T18:41:00Z</dcterms:modified>
</cp:coreProperties>
</file>